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07296">
      <w:pPr>
        <w:pStyle w:val="3"/>
        <w:jc w:val="center"/>
        <w:rPr>
          <w:rFonts w:hint="eastAsia" w:ascii="宋体" w:hAnsi="宋体" w:eastAsia="宋体" w:cs="宋体"/>
          <w:sz w:val="44"/>
          <w:lang w:val="en-US"/>
        </w:rPr>
      </w:pPr>
      <w:r>
        <w:rPr>
          <w:rFonts w:hint="eastAsia" w:ascii="宋体" w:hAnsi="宋体" w:eastAsia="宋体" w:cs="宋体"/>
          <w:sz w:val="44"/>
          <w:lang w:val="en-US"/>
        </w:rPr>
        <w:t>和祐医院行政楼厨房2区餐饮服务项目</w:t>
      </w:r>
    </w:p>
    <w:p w14:paraId="7337B01F">
      <w:pPr>
        <w:pStyle w:val="3"/>
        <w:jc w:val="center"/>
        <w:rPr>
          <w:rFonts w:hint="eastAsia" w:ascii="宋体" w:hAnsi="宋体" w:eastAsia="宋体" w:cs="宋体"/>
          <w:sz w:val="44"/>
          <w:lang w:val="en-US"/>
        </w:rPr>
      </w:pPr>
      <w:r>
        <w:rPr>
          <w:rFonts w:hint="eastAsia" w:cs="宋体"/>
          <w:sz w:val="44"/>
          <w:lang w:val="en-US" w:eastAsia="zh-CN"/>
        </w:rPr>
        <w:t>招标</w:t>
      </w:r>
      <w:r>
        <w:rPr>
          <w:rFonts w:hint="eastAsia" w:ascii="宋体" w:hAnsi="宋体" w:eastAsia="宋体" w:cs="宋体"/>
          <w:sz w:val="44"/>
          <w:lang w:val="en-US"/>
        </w:rPr>
        <w:t>公告</w:t>
      </w:r>
    </w:p>
    <w:p w14:paraId="58845895">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和祐医院供应链管理部配合医院内部发展需要，拟对和祐医院官网策划运维服务项目进行邀标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9"/>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1196"/>
        <w:gridCol w:w="8587"/>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956" w:type="dxa"/>
            <w:vAlign w:val="center"/>
          </w:tcPr>
          <w:p w14:paraId="21BA70F9">
            <w:pPr>
              <w:pStyle w:val="8"/>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96" w:type="dxa"/>
            <w:vAlign w:val="center"/>
          </w:tcPr>
          <w:p w14:paraId="09008B92">
            <w:pPr>
              <w:pStyle w:val="8"/>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587" w:type="dxa"/>
            <w:vAlign w:val="center"/>
          </w:tcPr>
          <w:p w14:paraId="4909870C">
            <w:pPr>
              <w:pStyle w:val="8"/>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956" w:type="dxa"/>
            <w:vAlign w:val="center"/>
          </w:tcPr>
          <w:p w14:paraId="09714C74">
            <w:pPr>
              <w:pStyle w:val="8"/>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96" w:type="dxa"/>
            <w:vAlign w:val="center"/>
          </w:tcPr>
          <w:p w14:paraId="7C98FD1D">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587" w:type="dxa"/>
            <w:vAlign w:val="center"/>
          </w:tcPr>
          <w:p w14:paraId="56471FB8">
            <w:pPr>
              <w:pStyle w:val="8"/>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8"/>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7"/>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56" w:type="dxa"/>
            <w:vAlign w:val="center"/>
          </w:tcPr>
          <w:p w14:paraId="37214219">
            <w:pPr>
              <w:pStyle w:val="8"/>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96" w:type="dxa"/>
            <w:vAlign w:val="center"/>
          </w:tcPr>
          <w:p w14:paraId="690E8680">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587" w:type="dxa"/>
            <w:vAlign w:val="center"/>
          </w:tcPr>
          <w:p w14:paraId="1176391E">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佛山市顺德北滘镇和祐医院行政楼负一层</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2" w:hRule="atLeast"/>
        </w:trPr>
        <w:tc>
          <w:tcPr>
            <w:tcW w:w="956" w:type="dxa"/>
            <w:vAlign w:val="center"/>
          </w:tcPr>
          <w:p w14:paraId="42819780">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96" w:type="dxa"/>
            <w:vAlign w:val="center"/>
          </w:tcPr>
          <w:p w14:paraId="7A5234EE">
            <w:pPr>
              <w:pStyle w:val="8"/>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587" w:type="dxa"/>
            <w:vAlign w:val="center"/>
          </w:tcPr>
          <w:p w14:paraId="01C1ACD7">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1、项目背景</w:t>
            </w:r>
          </w:p>
          <w:p w14:paraId="31CA4268">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为提升医院餐饮服务质量，满足患者、职工及家属就餐需求，我院现对饭堂餐饮服务项目进行公开招标。原餐饮公司合同将于2026年2月底到期，本项目服务年限采用一年一签方式,综合考核得分优秀可续签下一年度合同。</w:t>
            </w:r>
          </w:p>
          <w:p w14:paraId="6807DC8A">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2、服务地点</w:t>
            </w:r>
          </w:p>
          <w:p w14:paraId="5C1EFE6C">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行政楼负一层厨房2、厨房3、厨房4及配套餐厅（总面积742㎡，含后厨加工区与用餐区），日均服务量预计≥600人次。</w:t>
            </w:r>
          </w:p>
          <w:p w14:paraId="493DC7C3">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供餐时段：早、中、晚三餐全覆盖，节假日实行不间断服务。</w:t>
            </w:r>
          </w:p>
          <w:p w14:paraId="157A724D">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3、核心要求</w:t>
            </w:r>
          </w:p>
          <w:p w14:paraId="170FEC27">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（1）每餐食材成本占比不低于55%，确保营养均衡与成本控制；</w:t>
            </w:r>
          </w:p>
          <w:p w14:paraId="3CD169F2">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（2）需配合提供接待餐、宵夜、特殊病号餐等定制服务，响应时间不超过24小时；</w:t>
            </w:r>
          </w:p>
          <w:p w14:paraId="3B1FD91A">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（3）餐厅功能划分为粉面档、自助餐、烧腊档、自选餐四大特色档口，满足多样化就餐需求。</w:t>
            </w:r>
          </w:p>
          <w:p w14:paraId="0BD77E6A">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4、设备设施管理</w:t>
            </w:r>
          </w:p>
          <w:p w14:paraId="56693D98">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（1）甲方提供：后厨及档口大型灶具、餐厨设备（损坏由承包方按市场价赔付）</w:t>
            </w:r>
          </w:p>
          <w:p w14:paraId="29586223">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（2）承包方自备：餐具、后厨操作工具等（需符合甲方风格/品牌要求，产权归承包方）</w:t>
            </w:r>
          </w:p>
          <w:p w14:paraId="42E8341F">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（3）合同期满处理：自备设备可自行处置或协商折旧分摊</w:t>
            </w:r>
          </w:p>
          <w:p w14:paraId="3451D46B">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5、经济条款与考核</w:t>
            </w:r>
          </w:p>
          <w:p w14:paraId="36A27459">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（1）承包模式：免承包费，需缴纳≥20万元履约保证金（合同期满无违约全额退还）；</w:t>
            </w:r>
          </w:p>
          <w:p w14:paraId="18F91788">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（2）费用承担：水电气费由承包商承担,甲方对承包商月度考核达优秀时，甲方将减免承包商当月水电气费用。</w:t>
            </w:r>
          </w:p>
          <w:p w14:paraId="5C0C5D5D">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（3）清洁责任：餐厅日常清洁、厨余垃圾分类处置由承包商负责，接受甲方定期检查。</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956" w:type="dxa"/>
            <w:vAlign w:val="center"/>
          </w:tcPr>
          <w:p w14:paraId="10B47F6B">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96" w:type="dxa"/>
            <w:shd w:val="clear" w:color="auto" w:fill="auto"/>
            <w:vAlign w:val="center"/>
          </w:tcPr>
          <w:p w14:paraId="591859DA">
            <w:pPr>
              <w:pStyle w:val="8"/>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tc>
        <w:tc>
          <w:tcPr>
            <w:tcW w:w="8587" w:type="dxa"/>
            <w:shd w:val="clear" w:color="auto" w:fill="auto"/>
            <w:vAlign w:val="center"/>
          </w:tcPr>
          <w:p w14:paraId="004073DB">
            <w:pPr>
              <w:pStyle w:val="8"/>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1、常规餐饮服务</w:t>
            </w:r>
          </w:p>
          <w:p w14:paraId="05BA5464">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（1）全时段覆盖：每日三餐（含节假日不间断服务），早餐提供粥/粉/面/小笼包/馒头/油条/豆浆/中西早点/粗细粮等≥8种点心类，中晚餐供应≥15种菜品组合，正餐同类品种同一时段不连续超过三次。</w:t>
            </w:r>
          </w:p>
          <w:p w14:paraId="4AEB137F">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（2）菜单创新：按周制定菜单（重复率≤50%），每周四前提交下周菜单给甲方确认，每周研发≥1种新菜品，节假日可选餐品种数≥日常50%。</w:t>
            </w:r>
          </w:p>
          <w:p w14:paraId="2950B350">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 xml:space="preserve"> （3）精准供餐时段：</w:t>
            </w:r>
          </w:p>
          <w:p w14:paraId="55561C68">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职工：早餐07:00-08:30｜午餐11:00-13:30｜晚餐17:30-19:00</w:t>
            </w:r>
          </w:p>
          <w:p w14:paraId="7F4CE0B8">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病人：早餐06:30-09:00｜午餐10:30-13:30｜晚餐16:30-18:30（调整需甲方书面同意）</w:t>
            </w:r>
          </w:p>
          <w:p w14:paraId="3AEF67CF">
            <w:pPr>
              <w:pStyle w:val="8"/>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2、特殊餐饮服务</w:t>
            </w:r>
          </w:p>
          <w:p w14:paraId="6361E904">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定制化服务：病号餐/接待餐/宴会餐/宵夜等需提前1天确认菜单及报价，满足特殊饮食需求（如低糖、低盐、素食等）。</w:t>
            </w:r>
          </w:p>
          <w:p w14:paraId="27BBE4AA">
            <w:pPr>
              <w:numPr>
                <w:ilvl w:val="0"/>
                <w:numId w:val="0"/>
              </w:numPr>
              <w:autoSpaceDE/>
              <w:autoSpaceDN/>
              <w:rPr>
                <w:rFonts w:hint="eastAsia" w:asciiTheme="minorEastAsia" w:hAnsiTheme="minorEastAsia" w:eastAsiaTheme="minorEastAsia" w:cstheme="minorEastAsia"/>
                <w:sz w:val="21"/>
                <w:szCs w:val="21"/>
                <w:lang w:val="en-US" w:eastAsia="zh-CN" w:bidi="zh-CN"/>
              </w:rPr>
            </w:pPr>
            <w:bookmarkStart w:id="0" w:name="_GoBack"/>
            <w:r>
              <w:rPr>
                <w:rFonts w:hint="eastAsia" w:asciiTheme="minorEastAsia" w:hAnsiTheme="minorEastAsia" w:eastAsiaTheme="minorEastAsia" w:cstheme="minorEastAsia"/>
                <w:sz w:val="21"/>
                <w:szCs w:val="21"/>
                <w:lang w:val="en-US" w:eastAsia="zh-CN" w:bidi="zh-CN"/>
              </w:rPr>
              <w:t>3、配套服务</w:t>
            </w:r>
          </w:p>
          <w:bookmarkEnd w:id="0"/>
          <w:p w14:paraId="16866AEC">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（1）送餐保障：免费送餐至病区，配备恒温保温设备确保餐品温度≥60℃；</w:t>
            </w:r>
          </w:p>
          <w:p w14:paraId="7FD257BB">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（2）环保管理：厨余垃圾按“干湿分离”标准分类处置，符合《城市生活垃圾管理办法》；</w:t>
            </w:r>
          </w:p>
          <w:p w14:paraId="489754A5">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（3）溯源体系：建立食材采购电子台账</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56" w:type="dxa"/>
            <w:vAlign w:val="center"/>
          </w:tcPr>
          <w:p w14:paraId="6D135168">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96"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587"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56" w:type="dxa"/>
            <w:vAlign w:val="center"/>
          </w:tcPr>
          <w:p w14:paraId="04973182">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96" w:type="dxa"/>
            <w:vAlign w:val="center"/>
          </w:tcPr>
          <w:p w14:paraId="4E071461">
            <w:pPr>
              <w:pStyle w:val="8"/>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587"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56" w:type="dxa"/>
            <w:vAlign w:val="center"/>
          </w:tcPr>
          <w:p w14:paraId="04256943">
            <w:pPr>
              <w:pStyle w:val="8"/>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96" w:type="dxa"/>
            <w:vAlign w:val="center"/>
          </w:tcPr>
          <w:p w14:paraId="4077EB4A">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587" w:type="dxa"/>
            <w:vAlign w:val="center"/>
          </w:tcPr>
          <w:p w14:paraId="28944B45">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eastAsia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8" w:hRule="atLeast"/>
        </w:trPr>
        <w:tc>
          <w:tcPr>
            <w:tcW w:w="956" w:type="dxa"/>
            <w:vAlign w:val="center"/>
          </w:tcPr>
          <w:p w14:paraId="11282D4E">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96" w:type="dxa"/>
            <w:vAlign w:val="center"/>
          </w:tcPr>
          <w:p w14:paraId="46892655">
            <w:pPr>
              <w:pStyle w:val="8"/>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587" w:type="dxa"/>
            <w:vAlign w:val="center"/>
          </w:tcPr>
          <w:p w14:paraId="7180BCB0">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1、基本资格</w:t>
            </w:r>
          </w:p>
          <w:p w14:paraId="38089169">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（1）成立3年以上，注册资金≥500万元人民币，具有独立法人资格，合法经营且财务独立；</w:t>
            </w:r>
          </w:p>
          <w:p w14:paraId="58C69E68">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（2）持有有效《餐饮管理服务许可证》《食品经营许可证》，许可范围涵盖集体用餐配送及特殊膳食制作。</w:t>
            </w:r>
          </w:p>
          <w:p w14:paraId="2431674B">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2、信誉要求</w:t>
            </w:r>
          </w:p>
          <w:p w14:paraId="5EF4E7DD">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（1）银行资信良好，无被责令停业、破产或资产被接管/冻结记录；</w:t>
            </w:r>
          </w:p>
          <w:p w14:paraId="1C2C1359">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（2）在国家企业信用信息公示系统无食品安全事故记录、无失信被执行记录；</w:t>
            </w:r>
          </w:p>
          <w:p w14:paraId="15C5B7C3">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（3）法人/管理层/股东无利益冲突，未被列入行业黑名单或不良记录名单。</w:t>
            </w:r>
          </w:p>
          <w:p w14:paraId="6058B2AD">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3、业绩要求</w:t>
            </w:r>
          </w:p>
          <w:p w14:paraId="3480A880">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（1）具有医院职工餐厅或患者餐厅/美食广场/1000人以上企业团餐连续运营≥2年成功案例，提供合同复印件及业主评价；</w:t>
            </w:r>
          </w:p>
          <w:p w14:paraId="372BEDB1">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（2）广东省内合作项目点≥3个，甲方可随机抽取进行现场考察验证运营能力。</w:t>
            </w:r>
          </w:p>
          <w:p w14:paraId="0FF91E3A">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4、能力要求</w:t>
            </w:r>
          </w:p>
          <w:p w14:paraId="30CC4A52">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（1）团队配置：专职管理人员≥3人（附社保证明），含1名持证营养师；后厨团队≥10人（附健康证及资格证明），至少1名二级/技师以上厨师，1名专职食品安全管理员；</w:t>
            </w:r>
          </w:p>
          <w:p w14:paraId="78B85230">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（2）供餐能力：单日供应患者餐≥1000份（根据医院床位规模调整），支持病床送餐+堂食混合模式，送餐响应时间≤30分钟；</w:t>
            </w:r>
          </w:p>
          <w:p w14:paraId="1EF7394D">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（3）特殊膳食：可定制糖尿病餐、流食、低盐餐等≥5种常见病种需求，提供营养配比方案及制作流程；</w:t>
            </w:r>
          </w:p>
          <w:p w14:paraId="27F2D7FD">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（4）供应链管理：提供至少3家合作供应商名单及近期质检报告；米面油等主食需有批次检测报告，肉类需提供检疫证明；</w:t>
            </w:r>
          </w:p>
          <w:p w14:paraId="0D40460C">
            <w:pPr>
              <w:pStyle w:val="10"/>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val="0"/>
                <w:bCs/>
                <w:sz w:val="21"/>
                <w:szCs w:val="21"/>
                <w:lang w:val="en-US" w:eastAsia="zh-CN"/>
              </w:rPr>
              <w:t>（5）经营模式：自主承担食材采购、设备维保、能源费用等成本，实行自主经营、自负盈亏，接受甲方月度考核。</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956" w:type="dxa"/>
            <w:vAlign w:val="center"/>
          </w:tcPr>
          <w:p w14:paraId="73C006FC">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96" w:type="dxa"/>
            <w:vAlign w:val="center"/>
          </w:tcPr>
          <w:p w14:paraId="72CC0F6B">
            <w:pPr>
              <w:pStyle w:val="8"/>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587"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956" w:type="dxa"/>
            <w:vAlign w:val="center"/>
          </w:tcPr>
          <w:p w14:paraId="669D8C66">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96" w:type="dxa"/>
            <w:vAlign w:val="center"/>
          </w:tcPr>
          <w:p w14:paraId="160047EE">
            <w:pPr>
              <w:pStyle w:val="8"/>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587" w:type="dxa"/>
            <w:vAlign w:val="center"/>
          </w:tcPr>
          <w:p w14:paraId="0B03D34E">
            <w:pPr>
              <w:pStyle w:val="8"/>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8"/>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956" w:type="dxa"/>
            <w:vAlign w:val="center"/>
          </w:tcPr>
          <w:p w14:paraId="321B39DF">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96" w:type="dxa"/>
            <w:vAlign w:val="center"/>
          </w:tcPr>
          <w:p w14:paraId="287F0B9D">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587" w:type="dxa"/>
            <w:vAlign w:val="center"/>
          </w:tcPr>
          <w:p w14:paraId="206D424B">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8"/>
              <w:snapToGrid w:val="0"/>
              <w:textAlignment w:val="baseline"/>
              <w:rPr>
                <w:rFonts w:hint="eastAsia" w:asciiTheme="minorEastAsia" w:hAnsiTheme="minorEastAsia" w:eastAsiaTheme="minorEastAsia" w:cstheme="minorEastAsia"/>
                <w:sz w:val="21"/>
                <w:szCs w:val="21"/>
                <w:lang w:val="en-US" w:eastAsia="zh-CN"/>
              </w:rPr>
            </w:pPr>
          </w:p>
          <w:p w14:paraId="5B460C0F">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271AB1A3">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陈丽纯</w:t>
            </w:r>
            <w:r>
              <w:rPr>
                <w:rFonts w:hint="eastAsia" w:asciiTheme="minorEastAsia" w:hAnsiTheme="minorEastAsia" w:eastAsiaTheme="minorEastAsia" w:cstheme="minorEastAsia"/>
                <w:sz w:val="21"/>
                <w:szCs w:val="21"/>
                <w:lang w:val="en-US" w:eastAsia="zh-CN"/>
              </w:rPr>
              <w:t xml:space="preserve">  18719259877</w:t>
            </w:r>
          </w:p>
          <w:p w14:paraId="4DFA1204">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邮箱：chenlc70@hyhospital.com</w:t>
            </w:r>
          </w:p>
          <w:p w14:paraId="7CFB5A65">
            <w:pPr>
              <w:pStyle w:val="8"/>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后勤保障部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956" w:type="dxa"/>
            <w:vAlign w:val="center"/>
          </w:tcPr>
          <w:p w14:paraId="20F73461">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96" w:type="dxa"/>
            <w:vAlign w:val="center"/>
          </w:tcPr>
          <w:p w14:paraId="05711EF3">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587" w:type="dxa"/>
            <w:vAlign w:val="center"/>
          </w:tcPr>
          <w:p w14:paraId="5A20CD78">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6" w:type="dxa"/>
            <w:vAlign w:val="center"/>
          </w:tcPr>
          <w:p w14:paraId="2ECBDDDB">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96" w:type="dxa"/>
            <w:vAlign w:val="center"/>
          </w:tcPr>
          <w:p w14:paraId="09A80A81">
            <w:pPr>
              <w:pStyle w:val="8"/>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587"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956" w:type="dxa"/>
            <w:vAlign w:val="center"/>
          </w:tcPr>
          <w:p w14:paraId="5B66B6B6">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96" w:type="dxa"/>
            <w:vAlign w:val="center"/>
          </w:tcPr>
          <w:p w14:paraId="12B87407">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587" w:type="dxa"/>
            <w:vAlign w:val="top"/>
          </w:tcPr>
          <w:p w14:paraId="141CB081">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8"/>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8"/>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8"/>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8"/>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774295E"/>
    <w:rsid w:val="08E418A6"/>
    <w:rsid w:val="0B2B77D7"/>
    <w:rsid w:val="0B4340AA"/>
    <w:rsid w:val="0C1C1816"/>
    <w:rsid w:val="0C7D22B4"/>
    <w:rsid w:val="0E666D78"/>
    <w:rsid w:val="0FD22917"/>
    <w:rsid w:val="104355C3"/>
    <w:rsid w:val="1153039F"/>
    <w:rsid w:val="12753A2E"/>
    <w:rsid w:val="13433B2C"/>
    <w:rsid w:val="1ECC2C27"/>
    <w:rsid w:val="20390F75"/>
    <w:rsid w:val="20407429"/>
    <w:rsid w:val="22477A07"/>
    <w:rsid w:val="228757E3"/>
    <w:rsid w:val="29EC7164"/>
    <w:rsid w:val="2A2E4796"/>
    <w:rsid w:val="2AA1140C"/>
    <w:rsid w:val="2BF23854"/>
    <w:rsid w:val="2E6966E5"/>
    <w:rsid w:val="2E90020C"/>
    <w:rsid w:val="2EEA15D4"/>
    <w:rsid w:val="3071036C"/>
    <w:rsid w:val="33174961"/>
    <w:rsid w:val="34452E08"/>
    <w:rsid w:val="359C114E"/>
    <w:rsid w:val="36F9612C"/>
    <w:rsid w:val="380A4A95"/>
    <w:rsid w:val="395104A1"/>
    <w:rsid w:val="3C4F6F1A"/>
    <w:rsid w:val="3E0964E6"/>
    <w:rsid w:val="411C1395"/>
    <w:rsid w:val="45961716"/>
    <w:rsid w:val="479845F9"/>
    <w:rsid w:val="48054938"/>
    <w:rsid w:val="48EC3D42"/>
    <w:rsid w:val="4A056E6A"/>
    <w:rsid w:val="4A5D6CA6"/>
    <w:rsid w:val="4A8E50B1"/>
    <w:rsid w:val="4D2770F7"/>
    <w:rsid w:val="4D5679DC"/>
    <w:rsid w:val="4EB726FD"/>
    <w:rsid w:val="4F0C2A48"/>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52D4297"/>
    <w:rsid w:val="65B512EC"/>
    <w:rsid w:val="673310EC"/>
    <w:rsid w:val="6784366C"/>
    <w:rsid w:val="685748DD"/>
    <w:rsid w:val="68BE495C"/>
    <w:rsid w:val="68E85E7D"/>
    <w:rsid w:val="6B2F38EF"/>
    <w:rsid w:val="6DB14A8F"/>
    <w:rsid w:val="6DB93944"/>
    <w:rsid w:val="6FF9271D"/>
    <w:rsid w:val="706E4EB9"/>
    <w:rsid w:val="71940E11"/>
    <w:rsid w:val="74454183"/>
    <w:rsid w:val="76266225"/>
    <w:rsid w:val="79350CE9"/>
    <w:rsid w:val="795A422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Body Text"/>
    <w:basedOn w:val="1"/>
    <w:qFormat/>
    <w:uiPriority w:val="1"/>
    <w:rPr>
      <w:b/>
      <w:bCs/>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customStyle="1" w:styleId="8">
    <w:name w:val="Table Paragraph"/>
    <w:basedOn w:val="1"/>
    <w:qFormat/>
    <w:uiPriority w:val="1"/>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2406</Words>
  <Characters>2570</Characters>
  <Lines>0</Lines>
  <Paragraphs>0</Paragraphs>
  <TotalTime>5</TotalTime>
  <ScaleCrop>false</ScaleCrop>
  <LinksUpToDate>false</LinksUpToDate>
  <CharactersWithSpaces>2584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2025-11-11T03:16:18Z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0E1EBD4A54AF48BCAF4C36B0815EA15E_12</vt:lpwstr>
  </property>
</Properties>
</file>