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和祐医院儿科生物反馈仪</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2025年12月16日23:59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儿科生物反馈仪1套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25D0F09F">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2综合管理平台可联合1个评估端与2个治疗终端，实现患者档案多端同步；评估、治</w:t>
            </w:r>
            <w:r>
              <w:rPr>
                <w:rFonts w:hint="default" w:ascii="微软雅黑" w:hAnsi="微软雅黑" w:eastAsia="微软雅黑" w:cs="宋体"/>
                <w:bCs w:val="0"/>
                <w:spacing w:val="0"/>
                <w:sz w:val="21"/>
                <w:szCs w:val="21"/>
                <w:lang w:val="en-US" w:eastAsia="zh-CN" w:bidi="zh-CN"/>
              </w:rPr>
              <w:t>疗流程化管理；诊疗信息直观呈现</w:t>
            </w:r>
          </w:p>
          <w:p w14:paraId="569BA61F">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3、提供综合评估平台，用于儿童心理问题与注意力问题的辅助诊断，至少包括视听整合</w:t>
            </w:r>
            <w:r>
              <w:rPr>
                <w:rFonts w:hint="default" w:ascii="微软雅黑" w:hAnsi="微软雅黑" w:eastAsia="微软雅黑" w:cs="宋体"/>
                <w:bCs w:val="0"/>
                <w:spacing w:val="0"/>
                <w:sz w:val="21"/>
                <w:szCs w:val="21"/>
                <w:lang w:val="en-US" w:eastAsia="zh-CN" w:bidi="zh-CN"/>
              </w:rPr>
              <w:t>连续测试IVA-CPT及常用儿童心理健康量表</w:t>
            </w:r>
          </w:p>
          <w:p w14:paraId="0B98CA98">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4、与患者接触的材料原发性刺激反应极轻微，无致敏性，细胞毒性分级为O级、无细胞毒</w:t>
            </w:r>
            <w:r>
              <w:rPr>
                <w:rFonts w:hint="default" w:ascii="微软雅黑" w:hAnsi="微软雅黑" w:eastAsia="微软雅黑" w:cs="宋体"/>
                <w:bCs w:val="0"/>
                <w:spacing w:val="0"/>
                <w:sz w:val="21"/>
                <w:szCs w:val="21"/>
                <w:lang w:val="en-US" w:eastAsia="zh-CN" w:bidi="zh-CN"/>
              </w:rPr>
              <w:t>性作用</w:t>
            </w:r>
          </w:p>
          <w:p w14:paraId="07923DE7">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5、实时采集脑电、肌电等生理信号，AD采样位数≥24bit,AD采样率≥2000Hz</w:t>
            </w:r>
          </w:p>
          <w:p w14:paraId="4EB6F72D">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6、脑电信号共模抑制比：各通道不小于100dB,噪声电平：不大于2μV</w:t>
            </w:r>
          </w:p>
          <w:p w14:paraId="1E2A47BC">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7、提供放松治疗(音乐治疗、暗示治疗、松弛治疗、呼吸治疗)、注意力治疗、注意力</w:t>
            </w:r>
            <w:r>
              <w:rPr>
                <w:rFonts w:hint="default" w:ascii="微软雅黑" w:hAnsi="微软雅黑" w:eastAsia="微软雅黑" w:cs="宋体"/>
                <w:bCs w:val="0"/>
                <w:spacing w:val="0"/>
                <w:sz w:val="21"/>
                <w:szCs w:val="21"/>
                <w:lang w:val="en-US" w:eastAsia="zh-CN" w:bidi="zh-CN"/>
              </w:rPr>
              <w:t>训练等，满足患者的学习认知、心理健康改善需求。</w:t>
            </w:r>
          </w:p>
          <w:p w14:paraId="39461257">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8、脑电参数可进行单独反馈，具备不同疾病/亚型个体化脑电生物反馈治疗方案</w:t>
            </w:r>
          </w:p>
          <w:p w14:paraId="0083A050">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9、提供纯反馈式、互动操作式等多类反馈训练，增加患者治疗趣味性与参与度</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10、业绩要求：投标人近三年（2022年1月至今）上述招标范围内设备具有复旦大学综合医院排名前100医院用户20家以上项目业绩。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cs="宋体"/>
                <w:sz w:val="21"/>
                <w:szCs w:val="21"/>
                <w:lang w:val="en-US" w:eastAsia="zh-CN" w:bidi="zh-CN"/>
              </w:rPr>
              <w:t>儿科生物反馈仪</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bidi="zh-CN"/>
              </w:rPr>
              <w:t>儿科生物反馈仪</w:t>
            </w:r>
            <w:r>
              <w:rPr>
                <w:rFonts w:hint="eastAsia" w:ascii="微软雅黑" w:hAnsi="微软雅黑" w:eastAsia="微软雅黑" w:cs="宋体"/>
                <w:sz w:val="21"/>
                <w:szCs w:val="21"/>
                <w:lang w:val="en-US" w:eastAsia="zh-CN"/>
              </w:rPr>
              <w:t>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KSANPRPMNJ0_19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ISSRUKJO9_20_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A10EA2"/>
    <w:rsid w:val="05E36A33"/>
    <w:rsid w:val="07C53E43"/>
    <w:rsid w:val="07DD3D0F"/>
    <w:rsid w:val="08B36F63"/>
    <w:rsid w:val="0BF95B27"/>
    <w:rsid w:val="0C65375D"/>
    <w:rsid w:val="0CD30B21"/>
    <w:rsid w:val="10013B6D"/>
    <w:rsid w:val="11B07D38"/>
    <w:rsid w:val="11F73340"/>
    <w:rsid w:val="1280703D"/>
    <w:rsid w:val="138055A4"/>
    <w:rsid w:val="16C36411"/>
    <w:rsid w:val="17471E3D"/>
    <w:rsid w:val="180C27AB"/>
    <w:rsid w:val="19A60AC8"/>
    <w:rsid w:val="1B177ED9"/>
    <w:rsid w:val="2076647F"/>
    <w:rsid w:val="23432469"/>
    <w:rsid w:val="238613E2"/>
    <w:rsid w:val="25C039A5"/>
    <w:rsid w:val="26445E08"/>
    <w:rsid w:val="264E141F"/>
    <w:rsid w:val="28832880"/>
    <w:rsid w:val="2B2B7D56"/>
    <w:rsid w:val="2E6770B3"/>
    <w:rsid w:val="34722DDC"/>
    <w:rsid w:val="34BF7BEB"/>
    <w:rsid w:val="3757544A"/>
    <w:rsid w:val="3A2E433E"/>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A217690"/>
    <w:rsid w:val="6B2018FE"/>
    <w:rsid w:val="6D214BCF"/>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916</Words>
  <Characters>1055</Characters>
  <Lines>12</Lines>
  <Paragraphs>3</Paragraphs>
  <TotalTime>154</TotalTime>
  <ScaleCrop>false</ScaleCrop>
  <LinksUpToDate>false</LinksUpToDate>
  <CharactersWithSpaces>1073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2025-12-10T06:28:18Z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2052-12.1.0.24034</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